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Annexure 2.2a : SOP ( Standard Operating Procedure)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6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Process of capturing customer’s investment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4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use a digital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Goal creation tool ( SEBI portal), where we capture our customer’s investment objective to provide them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with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rough estimate of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required savings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for their financial Goals. Such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tools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also help us assign the Risk categorisation to our customer’s. We review our customers Risk status according to the change in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‘achievement stage’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or change in their Income status etc – like we move them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accumulation stage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transition stage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and further 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distribution stage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etc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6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Process of Risk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4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record our customer's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Risk profile and categorize them under one of these categories :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Conservative,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Moderat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e 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Aggressive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, and Very Aggressive.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4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We also add the factors captured under investment objective , to finally assign the Risk category to our customers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4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We use this appropriateness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principle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while executing the customer’s order; we upgrade the Risk degree of the customer if required.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Please refer our Risk modification letter in the attachment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6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Process of for selection / recommending a MF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4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We do not recommend any scheme beyond the upper limit as mentioned in the table below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2243565" cy="1507752"/>
            <wp:effectExtent b="0" l="0" r="0" t="0"/>
            <wp:docPr id="6218074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565" cy="1507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 have set the upper limit for all our Risk categories to identify the unsuitable transactions :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7"/>
        <w:gridCol w:w="2926"/>
        <w:gridCol w:w="5307"/>
        <w:tblGridChange w:id="0">
          <w:tblGrid>
            <w:gridCol w:w="777"/>
            <w:gridCol w:w="2926"/>
            <w:gridCol w:w="53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 No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Customer’s Risk category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Upper limit of Scheme Type as per Riskometer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Conservative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Upto 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Moderate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Risk schemes in Riskometer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Upto 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Moderate High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’ Risk schemes in Riskometer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Aggressive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Upto ‘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High’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Risk schemes in Riskometer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Aggressive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Upto 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Very High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’ Risk schemes in Riskometer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-26" w:hanging="360"/>
      </w:pPr>
      <w:rPr>
        <w:rFonts w:ascii="Times New Roman" w:cs="Times New Roman" w:eastAsia="Times New Roman" w:hAnsi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694" w:hanging="358.99999999999994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1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3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5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7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9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1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3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07E0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07E0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07E0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07E0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07E0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07E05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7E0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7E0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7E0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607E05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07E0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07E0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7E0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7E0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7E0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7E0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7E0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7E0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7E0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7E0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7E0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7E05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7E0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7E0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7E0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7E0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E0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7E05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607E05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03F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EpMy1T7Ya83DE8YQGwQYyHBuw==">CgMxLjA4AHIhMUtoU1d4ZHgyMmR0QXVCcHptU3JQYWhzR0Q0WUFGa3dT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2024-05-30T01:00:00Z</dcterms:created>
  <dc:creator>Abhinesh Kumar</dc:creator>
</cp:coreProperties>
</file>